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386</w:t>
      </w:r>
    </w:p>
    <w:p>
      <w:r>
        <w:t>Bundesgericht (BGE), 2021-06-17, FR</w:t>
      </w:r>
    </w:p>
    <w:p>
      <w:r>
        <w:rPr>
          <w:b/>
        </w:rPr>
        <w:t xml:space="preserve">Quelle: </w:t>
      </w:r>
      <w:r>
        <w:t>https://mcp.opencaselaw.ch/entscheid/bge_147 I 386</w:t>
      </w:r>
    </w:p>
    <w:p>
      <w:r>
        <w:t>FR: ATF 147 I 386</w:t>
      </w:r>
    </w:p>
    <w:p>
      <w:r>
        <w:t>IT: DTF 147 I 386</w:t>
      </w:r>
    </w:p>
    <w:p>
      <w:pPr>
        <w:pStyle w:val="Heading2"/>
      </w:pPr>
      <w:r>
        <w:t>Regeste</w:t>
      </w:r>
    </w:p>
    <w:p>
      <w:r>
        <w:t>Regeste Art. 6 Ziff. 2 EMRK; Art. 10 Abs. 1 StPO; Art. 319 Abs. 1 lit. c StPO; Art. 15 StGB; Unschuldsvermutung; Einstellungsverfügung; Rechtfertigende Notwehr. Beschwerdelegitimation des Beschwerdeführers, welcher einerseits Privatkläger und andererseits in einem parallel geführten Verfahren Beschuldigter ist und eine Verletzung der Unschuldsvermutung geltend macht (Art. 81 BGG; E. 1.1). Die Unschuldsvermutung ist verletzt, wenn ein gerichtlicher Entscheid den Eindruck hinterlässt, der Beschuldigte sei schuldig, ohne dass dessen strafrechtliche Schuld je gerichtlich festgestellt wurde (E. 1.2). Die rechtfertigende Notwehr nach Art. 15 StGB fällt unter den Einstellungsgrund i.S.v. Art. 319 Abs. 1 lit. c StPO (E. 1.3). Im vorliegenden Fall, betreffend eine Auseinandersetzung zwischen den Beteiligten, deren Verhaltensweisen eng miteinander verbunden sind, hat die Vorinstanz Begriffe verwendet, die darauf schliessen lassen, dass sie den Beschwerdeführer für schuldig hält. Sie hat die Unschuldsvermutung verletzt, indem sie die Einstellung des Verfahrens zugunsten des Beschuldigten mit der Begründung bestätigte, dieser habe in rechtfertigender Notwehr gehandelt. Es hätte der Staatsanwaltschaft oblegen, Anklage gegen alle Beteiligten zu erheben, damit der sachlich zuständige Richter über die Umstände der Begehung der Straftaten und gegebenenfalls über die rechtfertigende Notwehr entscheiden kann (E. 1.5).</w:t>
      </w:r>
    </w:p>
    <w:p>
      <w:pPr>
        <w:pStyle w:val="Heading2"/>
      </w:pPr>
      <w:r>
        <w:t>Erwägungen</w:t>
      </w:r>
    </w:p>
    <w:p>
      <w:r>
        <w:rPr>
          <w:b/>
        </w:rPr>
        <w:t>E. 1.1</w:t>
      </w:r>
    </w:p>
    <w:p>
      <w:r>
        <w:t>Selon le recourant, le classement de la procédure en faveur de l'intimé, en tant qu'il concerne les infractions de lésions corporelles simples qu'il dénonce, consacre une violation de la présomption d'inocence. Il invoque une violation des art. 10 al. 1 CPP et 6 par. 2 CEDH sur ce point. En cela, il convient de lui reconnaître la qualité pour recourir au sens de l' art. 81 LTF , indépendamment de la problématique de ses prétentions civiles envers l'intimé comme partie plaignante ( ATF 141 IV 1 consid. 1). La violation du principe de la présomption d'innocence invoquée dans la configuration du cas d'espèce, où le recourant est à la fois partie plaignante et renvoyé en jugement en procédure parallèle, constitue une atteinte particulière à ses droits de partie qui l'habilite à recourir.</w:t>
      </w:r>
    </w:p>
    <w:p>
      <w:r>
        <w:rPr>
          <w:b/>
        </w:rPr>
        <w:t>E. 1.2</w:t>
      </w:r>
    </w:p>
    <w:p>
      <w:r>
        <w:t>Aux termes de l' art. 10 al. 1 CPP , toute personne est présumée innocente tant qu'elle n'est pas condamnée par un jugement entré en force. Selon l' art. 6 par. 2 CEDH , toute personne accusée d'une infraction est présumée innocente jusqu'à ce que sa culpabilité ait été légalement établie. Considérée comme une garantie procédurale dans le cadre du procès pénal lui-même, la présomption d'innocence impose des conditions concernant notamment la formulation par le juge du fond ou toute autre autorité publique de déclarations prématurées quant à la culpabilité d'un prévenu (arrêts de la CourEDH Allen contre Royaume-Uni du 12 juillet 2013 [requête n° 25424/09], § 93; Allenet de Ribemont contre France du 10 février 1995, série A n° 308, §§ 35-36; cf. ATF 124 I 327 consid. 3b; cf. également arrêt 6B_1180/2019 du 17 février 2020 consid. 2.2.2). BGE 147 I 386 S. 390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il suffit d'une motivation donnant à penser que le juge ou l'agent d'Etat considère l'intéressé comme coupable (arrêts de la CourEDH Karaman contre Allemagne du 27 février 2014 [requête n° 17103/ 10], § 41; Böhmer contre Allemagne du 3 octobre 2002 [requête n° 37568/97], § 54; Minelli contre Suisse du 25 mars 1983, série A, vol. 62 [requête n° 8660/79], § 37; cf. aussi ATF 124 I 327 consid. 3b et arrêt 6B_1217/2017 du 17 mai 2018 consid. 3.1). La garantie de l' art. 6 par. 2 CEDH s'étend aux procédures judiciaires qui précèdent le renvoi de l'inculpé en jugement ainsi qu'à celles postérieures à l'acquittement définitif de l'accusé (arrêt de la CourEDH Diamantides contre Grèce du 19 mai 2005 [requête n° 71563/01], § 44; cf. également arrêt CourEDH Y.B. et autres contre Turquie du 28 octobre 2004 [requêtes n os 48173/99 et 48319/99], § 43 s.). La CourEDH insiste sur l'importance du choix des mots utilisés par les agents publics dans leurs déclarations relatives à une personne qui n'a pas encore été jugée et reconnue coupable d'une infraction pénale donnée (arrêts de la CourEDH Böhmer contre Allemagne précité, § 56; Daktaras contre Lituanie du 10 octobre 2000 [requêten° 42095/98], § 41). Elle considère ainsi que ce qui importe aux fins d'application de la disposition précitée, c'est le sens réel des déclarations en question, et non leur forme littérale. Toutefois, le point de savoir si la déclaration d'un agent public constitue une violation du principe de la présomption d'innocence doit être tranché dans le contexte des circonstances particulières dans lesquelles la déclaration litigieuse a été formulée (arrêts de la CourEDH Y.B. et autres contre Turquie précité, § 44; Daktaras contre Lituanie précité, § 43; voir notamment arrêt de la CourEDH Adolf contre Autriche du 26 mars 1982, série A n° 49, §§ 36-41).</w:t>
      </w:r>
    </w:p>
    <w:p>
      <w:r>
        <w:rPr>
          <w:b/>
        </w:rPr>
        <w:t>E. 1.3</w:t>
      </w:r>
    </w:p>
    <w:p>
      <w:r>
        <w:t>A teneur de l' art. 319 al. 1 CPP , le ministère public ordonne le classement de tout ou partie de la procédure notamment lorsque des faits justificatifs empêchent de retenir une infraction contre le prévenu (let. c). Ce motif de classement comprend notamment la légitime défense au sens de l' art. 15 CP (LANDSHUT/BOSSHARD, in Kommentar zur BGE 147 I 386 S. 391 Schweizerischen Strafprozessordnung [StPO], vol. II, Donatsch/Summers/ Lieber/Wohlers [éd.], 3 e éd. 2020, n° 21 ad art. 319 CPP ; ROTH/ VILLARD, in Commentaire romand, Code de procédure pénale suisse, 2 e éd. 2019, n° 4 ad art. 319 CPP ; GRÄDEL/HEINIGER, in Basler Kommentar, Schweizerische Strafprozessordnung, 2 e éd. 2014, n° 11 ad art. 319 CPP ). Aux termes de cette disposition, quiconque, de manière contraire au droit, est attaqué ou menacé d'une attaque imminente a le droit de repousser l'attaque par des moyens proportionnés aux circonstances.</w:t>
      </w:r>
    </w:p>
    <w:p>
      <w:r>
        <w:rPr>
          <w:b/>
        </w:rPr>
        <w:t>E. 1.4</w:t>
      </w:r>
    </w:p>
    <w:p>
      <w:r>
        <w:t>S'agissant de l'infraction de lésions corporelles simples reprochée à l'intimé, la cour cantonale a confirmé les faits tels que décrits par le Ministère public, sur la base d'images de vidéosurveillance. Elle a considéré que l'intimé était menacé sérieusement et n'avait pas usé de moyens disproportionnés en utilisant son spray au poivre pour se défendre face à l'attaque imminente qui se présentait à lui. De même, le coup de pied qu'il avait donné au recourant l'était à des fins de défense, puisqu'il était roué de coups alors qu'il était en infériorité numérique. La cour cantonale en a déduit que l'intimé se trouvait en état de légitime défense ( art. 15 CP ) et a confirmé le classement pour ce motif ( art. 319 al. 1 let . c CPP). Saisie du grief déduit de la violation de la présomption d'innocence, la cour cantonale a retenu que le Procureur, qui avait classé l'affaire en faveur de l'intimé pour les mêmes motifs, n'avait pas violé la présomption d'innocence, puisqu'il s'était borné à renvoyer le recourant en accusation et que ce dernier pouvait faire valoir ses moyens de défense devant un tribunal.</w:t>
      </w:r>
    </w:p>
    <w:p>
      <w:r>
        <w:rPr>
          <w:b/>
        </w:rPr>
        <w:t>E. 1.5</w:t>
      </w:r>
    </w:p>
    <w:p>
      <w:r>
        <w:t>Ce raisonnement ne saurait être suivi. En déduisant notamment du "visage particulièrement agressif" du recourant, que ce dernier avait "envie d'en découdre" et avait "passé à tabac" l'intimé, en ayant "manifestement l'intention de porter atteinte à son intégrité physique", la cour cantonale a laissé à penser qu'elle considérait l'intéressé comme coupable d'une infraction (notamment de lésions corporelles) avant qu'une décision au fond ne soit rendue par un tribunal sur sa culpabilité. Le fait que la cour cantonale se serait contentée de décrire les images de vidéosurveillance ne change rien à ce constat. L'arrêt entrepris préjuge de la culpabilité du recourant, lequel n'a pas eu l'occasion de faire valoir ses moyens de défense, en qualité de partie plaignante dans le cadre de la procédure dirigée contre l'intimé. Il en résulte que la cour cantonale a violé la présomption BGE 147 I 386 S. 392 d'innocence au sens de la jurisprudence précitée. Dans pareille configuration, impliquant des protagonistes dont les comportements sont intimement liés, il appartenait au ministère public de renvoyer tous les intéressés en jugement afin que le juge matériellement compétent se prononce sur les conditions de réalisation des infractions et, le cas échéant, sur le motif justificatif que consacre la légitime défense. Ces considérations n'excluent toutefois pas qu'un classement soit prononcé en vertu de l' art. 319 al. 1 let . c CPP en lien avec l' art. 15 CP dans des configurations particulières. Au vu de ce qui précède, il n'y a pas lieu d'examiner les griefs déduits de l' art. 319 CPP et de l'adage "in dubio pro duriore".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